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C4037" w14:textId="77777777" w:rsidR="007A15AF" w:rsidRDefault="00B32C40" w:rsidP="00C544BA">
      <w:r>
        <w:rPr>
          <w:noProof/>
          <w:color w:val="FFFFFF"/>
        </w:rPr>
        <w:drawing>
          <wp:inline distT="0" distB="0" distL="0" distR="0" wp14:anchorId="00D23AB7" wp14:editId="1C233795">
            <wp:extent cx="1130400" cy="1008000"/>
            <wp:effectExtent l="0" t="0" r="0" b="1905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14:paraId="487856FF" w14:textId="77777777"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14:paraId="4BAE4662" w14:textId="77777777" w:rsidR="002D31CA" w:rsidRPr="007A3845" w:rsidRDefault="00446A3F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 xml:space="preserve">Utilisation </w:t>
      </w:r>
      <w:r w:rsidR="00202BEF">
        <w:rPr>
          <w:rFonts w:ascii="Arial" w:hAnsi="Arial" w:cs="Arial"/>
          <w:b/>
          <w:color w:val="003B8E"/>
          <w:sz w:val="32"/>
          <w:szCs w:val="32"/>
        </w:rPr>
        <w:t>de</w:t>
      </w:r>
      <w:r w:rsidR="000D68DB">
        <w:rPr>
          <w:rFonts w:ascii="Arial" w:hAnsi="Arial" w:cs="Arial"/>
          <w:b/>
          <w:color w:val="003B8E"/>
          <w:sz w:val="32"/>
          <w:szCs w:val="32"/>
        </w:rPr>
        <w:t xml:space="preserve">s </w:t>
      </w:r>
      <w:r w:rsidR="00202BEF">
        <w:rPr>
          <w:rFonts w:ascii="Arial" w:hAnsi="Arial" w:cs="Arial"/>
          <w:b/>
          <w:color w:val="003B8E"/>
          <w:sz w:val="32"/>
          <w:szCs w:val="32"/>
        </w:rPr>
        <w:t>état</w:t>
      </w:r>
      <w:r w:rsidR="000D68DB">
        <w:rPr>
          <w:rFonts w:ascii="Arial" w:hAnsi="Arial" w:cs="Arial"/>
          <w:b/>
          <w:color w:val="003B8E"/>
          <w:sz w:val="32"/>
          <w:szCs w:val="32"/>
        </w:rPr>
        <w:t>s</w:t>
      </w:r>
      <w:r w:rsidR="00202BEF">
        <w:rPr>
          <w:rFonts w:ascii="Arial" w:hAnsi="Arial" w:cs="Arial"/>
          <w:b/>
          <w:color w:val="003B8E"/>
          <w:sz w:val="32"/>
          <w:szCs w:val="32"/>
        </w:rPr>
        <w:t xml:space="preserve"> « </w:t>
      </w:r>
      <w:r w:rsidR="00202BEF" w:rsidRPr="00202BEF">
        <w:rPr>
          <w:rFonts w:ascii="Arial" w:hAnsi="Arial" w:cs="Arial"/>
          <w:b/>
          <w:color w:val="003B8E"/>
          <w:sz w:val="32"/>
          <w:szCs w:val="32"/>
        </w:rPr>
        <w:t>Contenu de la remise</w:t>
      </w:r>
      <w:r w:rsidR="00202BEF">
        <w:rPr>
          <w:rFonts w:ascii="Arial" w:hAnsi="Arial" w:cs="Arial"/>
          <w:b/>
          <w:color w:val="003B8E"/>
          <w:sz w:val="32"/>
          <w:szCs w:val="32"/>
        </w:rPr>
        <w:t> » et « </w:t>
      </w:r>
      <w:r w:rsidR="00202BEF" w:rsidRPr="00202BEF">
        <w:rPr>
          <w:rFonts w:ascii="Arial" w:hAnsi="Arial" w:cs="Arial"/>
          <w:b/>
          <w:color w:val="003B8E"/>
          <w:sz w:val="32"/>
          <w:szCs w:val="32"/>
        </w:rPr>
        <w:t>Informations de base</w:t>
      </w:r>
      <w:r w:rsidR="00202BEF">
        <w:rPr>
          <w:rFonts w:ascii="Arial" w:hAnsi="Arial" w:cs="Arial"/>
          <w:b/>
          <w:color w:val="003B8E"/>
          <w:sz w:val="32"/>
          <w:szCs w:val="32"/>
        </w:rPr>
        <w:t> »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</w:t>
      </w:r>
      <w:r w:rsidR="00E453E8">
        <w:rPr>
          <w:rFonts w:ascii="Arial" w:hAnsi="Arial" w:cs="Arial"/>
          <w:b/>
          <w:color w:val="003B8E"/>
          <w:sz w:val="32"/>
          <w:szCs w:val="32"/>
        </w:rPr>
        <w:t>–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FR.</w:t>
      </w:r>
      <w:r w:rsidR="00202BEF">
        <w:rPr>
          <w:rFonts w:ascii="Arial" w:hAnsi="Arial" w:cs="Arial"/>
          <w:b/>
          <w:color w:val="003B8E"/>
          <w:sz w:val="32"/>
          <w:szCs w:val="32"/>
        </w:rPr>
        <w:t>01.01/FR.01.02</w:t>
      </w:r>
    </w:p>
    <w:p w14:paraId="77CEFDF5" w14:textId="77777777" w:rsidR="002D31CA" w:rsidRDefault="002D31CA" w:rsidP="00C544BA"/>
    <w:p w14:paraId="5AF19078" w14:textId="77777777" w:rsidR="008A1581" w:rsidRDefault="008A1581" w:rsidP="00D61A70"/>
    <w:p w14:paraId="00403E2A" w14:textId="58E4A64F" w:rsidR="000D68DB" w:rsidRDefault="00E453E8" w:rsidP="00D61A70">
      <w:r>
        <w:t xml:space="preserve">Les états </w:t>
      </w:r>
      <w:r w:rsidR="000D68DB">
        <w:t>FR.01.01 (« </w:t>
      </w:r>
      <w:r w:rsidR="000D68DB" w:rsidRPr="000D68DB">
        <w:rPr>
          <w:i/>
        </w:rPr>
        <w:t>Contenu de la remise</w:t>
      </w:r>
      <w:r w:rsidR="000D68DB">
        <w:t> ») et FR.01.02 (« </w:t>
      </w:r>
      <w:r w:rsidR="000D68DB" w:rsidRPr="000D68DB">
        <w:rPr>
          <w:i/>
        </w:rPr>
        <w:t>Informations de base</w:t>
      </w:r>
      <w:r w:rsidR="000D68DB">
        <w:t xml:space="preserve"> ») </w:t>
      </w:r>
      <w:r>
        <w:t xml:space="preserve">contiennent </w:t>
      </w:r>
      <w:r w:rsidR="000D68DB">
        <w:t xml:space="preserve">des informations que les organismes relevant du régime « Solvabilité II » doivent communiquer avec </w:t>
      </w:r>
      <w:r w:rsidR="005A4E44">
        <w:t>les</w:t>
      </w:r>
      <w:r w:rsidR="000D68DB">
        <w:t xml:space="preserve"> autres données XBRL du </w:t>
      </w:r>
      <w:proofErr w:type="spellStart"/>
      <w:r w:rsidR="000D68DB" w:rsidRPr="000D68DB">
        <w:rPr>
          <w:i/>
        </w:rPr>
        <w:t>reporting</w:t>
      </w:r>
      <w:proofErr w:type="spellEnd"/>
      <w:r w:rsidR="000D68DB">
        <w:t xml:space="preserve"> national spécifique</w:t>
      </w:r>
      <w:r w:rsidR="00CE0374">
        <w:t xml:space="preserve"> afin de donner des informations sur </w:t>
      </w:r>
      <w:r>
        <w:t>le contenu</w:t>
      </w:r>
      <w:r w:rsidR="008A1581">
        <w:t xml:space="preserve"> de leur </w:t>
      </w:r>
      <w:proofErr w:type="spellStart"/>
      <w:r w:rsidR="008A1581" w:rsidRPr="008A1581">
        <w:rPr>
          <w:i/>
        </w:rPr>
        <w:t>reporting</w:t>
      </w:r>
      <w:proofErr w:type="spellEnd"/>
      <w:r w:rsidR="008A1581">
        <w:t xml:space="preserve"> et sur eux-mêmes</w:t>
      </w:r>
      <w:r w:rsidR="00C8692D">
        <w:t xml:space="preserve">, en application de l’instruction </w:t>
      </w:r>
      <w:r w:rsidR="0074713F" w:rsidRPr="0074713F">
        <w:t>de l’ACPR n°202</w:t>
      </w:r>
      <w:r w:rsidR="001C3FCA">
        <w:t>5</w:t>
      </w:r>
      <w:r w:rsidR="0074713F" w:rsidRPr="0074713F">
        <w:t>-I-</w:t>
      </w:r>
      <w:r w:rsidR="001C3FCA">
        <w:t>0</w:t>
      </w:r>
      <w:r w:rsidR="0074713F" w:rsidRPr="0074713F">
        <w:t>2 (anciennement n°20</w:t>
      </w:r>
      <w:r w:rsidR="001C3FCA">
        <w:t>23</w:t>
      </w:r>
      <w:r w:rsidR="0074713F" w:rsidRPr="0074713F">
        <w:t>-I-1</w:t>
      </w:r>
      <w:r w:rsidR="00F4788E">
        <w:t>3</w:t>
      </w:r>
      <w:proofErr w:type="gramStart"/>
      <w:r w:rsidR="0074713F" w:rsidRPr="0074713F">
        <w:t>)</w:t>
      </w:r>
      <w:r w:rsidR="0074713F">
        <w:t> :</w:t>
      </w:r>
      <w:r w:rsidR="000D68DB">
        <w:t>:</w:t>
      </w:r>
      <w:proofErr w:type="gramEnd"/>
    </w:p>
    <w:p w14:paraId="3B9D7A52" w14:textId="77777777" w:rsidR="000D68DB" w:rsidRDefault="00E453E8" w:rsidP="000D68DB">
      <w:pPr>
        <w:pStyle w:val="Paragraphedeliste"/>
        <w:numPr>
          <w:ilvl w:val="0"/>
          <w:numId w:val="11"/>
        </w:numPr>
      </w:pPr>
      <w:r>
        <w:t xml:space="preserve">L’état </w:t>
      </w:r>
      <w:r w:rsidR="000D68DB">
        <w:t xml:space="preserve">FR.01.01 remplit une fonction comparable à </w:t>
      </w:r>
      <w:r>
        <w:t xml:space="preserve">l’état </w:t>
      </w:r>
      <w:r w:rsidR="000D68DB">
        <w:t xml:space="preserve">S.01.01 du </w:t>
      </w:r>
      <w:proofErr w:type="spellStart"/>
      <w:r w:rsidR="000D68DB" w:rsidRPr="000D68DB">
        <w:rPr>
          <w:i/>
        </w:rPr>
        <w:t>reporting</w:t>
      </w:r>
      <w:proofErr w:type="spellEnd"/>
      <w:r w:rsidR="000D68DB">
        <w:t xml:space="preserve"> Solvabilité II en indiquant, pour chaque état, sa situation (reporté/non reporté).</w:t>
      </w:r>
    </w:p>
    <w:p w14:paraId="236A63F3" w14:textId="77777777" w:rsidR="007D6140" w:rsidRPr="000D68DB" w:rsidRDefault="00E453E8" w:rsidP="000D68DB">
      <w:pPr>
        <w:pStyle w:val="Paragraphedeliste"/>
        <w:numPr>
          <w:ilvl w:val="0"/>
          <w:numId w:val="11"/>
        </w:numPr>
      </w:pPr>
      <w:r>
        <w:t xml:space="preserve">L’état </w:t>
      </w:r>
      <w:r w:rsidR="000D68DB">
        <w:t xml:space="preserve">FR.01.02 remplit une fonction comparable à </w:t>
      </w:r>
      <w:r>
        <w:t xml:space="preserve">l’état </w:t>
      </w:r>
      <w:r w:rsidR="000D68DB">
        <w:t xml:space="preserve">S.01.02 du </w:t>
      </w:r>
      <w:proofErr w:type="spellStart"/>
      <w:r w:rsidR="000D68DB" w:rsidRPr="000D68DB">
        <w:rPr>
          <w:i/>
        </w:rPr>
        <w:t>reporting</w:t>
      </w:r>
      <w:proofErr w:type="spellEnd"/>
      <w:r w:rsidR="000D68DB">
        <w:t xml:space="preserve"> Solvabilité II en indiquant plusieurs informations sur l’état civil de l’organisme d’assurance</w:t>
      </w:r>
      <w:r w:rsidR="008A1581">
        <w:t xml:space="preserve"> et la date de son </w:t>
      </w:r>
      <w:proofErr w:type="spellStart"/>
      <w:r w:rsidR="008A1581" w:rsidRPr="008A1581">
        <w:rPr>
          <w:i/>
        </w:rPr>
        <w:t>reporting</w:t>
      </w:r>
      <w:proofErr w:type="spellEnd"/>
      <w:r w:rsidR="000D68DB">
        <w:t>.</w:t>
      </w:r>
    </w:p>
    <w:p w14:paraId="43892011" w14:textId="77777777" w:rsidR="00202BEF" w:rsidRDefault="00202BEF" w:rsidP="00D61A70">
      <w:pPr>
        <w:rPr>
          <w:b/>
        </w:rPr>
      </w:pPr>
    </w:p>
    <w:p w14:paraId="7EA00E41" w14:textId="77777777" w:rsidR="00CE0374" w:rsidRPr="00CE0374" w:rsidRDefault="00CE0374" w:rsidP="00D61A70">
      <w:r w:rsidRPr="00CE0374">
        <w:t xml:space="preserve">Les organismes </w:t>
      </w:r>
      <w:r>
        <w:t>ne relevant pas du régime « Solvabilité II » ne doivent pas les communiquer.</w:t>
      </w:r>
    </w:p>
    <w:p w14:paraId="5D4FCAE6" w14:textId="77777777" w:rsidR="00CE0374" w:rsidRDefault="00CE0374">
      <w:pPr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927B9FC" w14:textId="77777777" w:rsidR="007D6140" w:rsidRPr="002D31CA" w:rsidRDefault="000D68DB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FR.01.01</w:t>
      </w:r>
      <w:r w:rsidR="00994B09">
        <w:rPr>
          <w:rFonts w:ascii="Arial" w:hAnsi="Arial" w:cs="Arial"/>
          <w:b/>
          <w:sz w:val="32"/>
          <w:szCs w:val="32"/>
        </w:rPr>
        <w:t xml:space="preserve"> </w:t>
      </w:r>
      <w:r w:rsidR="00871B4C">
        <w:rPr>
          <w:rFonts w:ascii="Arial" w:hAnsi="Arial" w:cs="Arial"/>
          <w:b/>
          <w:sz w:val="32"/>
          <w:szCs w:val="32"/>
        </w:rPr>
        <w:t>–</w:t>
      </w:r>
      <w:r w:rsidR="00994B09">
        <w:rPr>
          <w:rFonts w:ascii="Arial" w:hAnsi="Arial" w:cs="Arial"/>
          <w:b/>
          <w:sz w:val="32"/>
          <w:szCs w:val="32"/>
        </w:rPr>
        <w:t xml:space="preserve"> définition</w:t>
      </w:r>
    </w:p>
    <w:p w14:paraId="6416EFFB" w14:textId="77777777"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14:paraId="05A83547" w14:textId="77777777" w:rsidTr="00124EEB">
        <w:trPr>
          <w:trHeight w:val="243"/>
        </w:trPr>
        <w:tc>
          <w:tcPr>
            <w:tcW w:w="2376" w:type="dxa"/>
          </w:tcPr>
          <w:p w14:paraId="5F015E8D" w14:textId="77777777"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</w:t>
            </w:r>
            <w:r w:rsidR="00871B4C">
              <w:rPr>
                <w:b/>
              </w:rPr>
              <w:t>É</w:t>
            </w:r>
          </w:p>
        </w:tc>
        <w:tc>
          <w:tcPr>
            <w:tcW w:w="1843" w:type="dxa"/>
          </w:tcPr>
          <w:p w14:paraId="5295366A" w14:textId="77777777" w:rsidR="00DE17B3" w:rsidRPr="000A4097" w:rsidRDefault="00994B09" w:rsidP="00994B0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CODE</w:t>
            </w:r>
            <w:r w:rsidR="00DE17B3" w:rsidRPr="000A4097">
              <w:rPr>
                <w:b/>
              </w:rPr>
              <w:t xml:space="preserve"> D</w:t>
            </w:r>
            <w:r>
              <w:rPr>
                <w:b/>
              </w:rPr>
              <w:t>U CHAMPS</w:t>
            </w:r>
          </w:p>
        </w:tc>
        <w:tc>
          <w:tcPr>
            <w:tcW w:w="5103" w:type="dxa"/>
          </w:tcPr>
          <w:p w14:paraId="41556FA0" w14:textId="77777777" w:rsidR="00DE17B3" w:rsidRPr="000A4097" w:rsidRDefault="00DE17B3" w:rsidP="00871B4C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</w:t>
            </w:r>
            <w:r w:rsidR="00871B4C">
              <w:rPr>
                <w:b/>
              </w:rPr>
              <w:t>É</w:t>
            </w:r>
            <w:r w:rsidRPr="000A4097">
              <w:rPr>
                <w:b/>
              </w:rPr>
              <w:t>FINITION</w:t>
            </w:r>
            <w:r w:rsidR="001D7CEA">
              <w:rPr>
                <w:b/>
              </w:rPr>
              <w:t xml:space="preserve"> ET </w:t>
            </w:r>
            <w:r w:rsidR="00871B4C">
              <w:rPr>
                <w:b/>
              </w:rPr>
              <w:t>CONTRÔLE</w:t>
            </w:r>
          </w:p>
        </w:tc>
      </w:tr>
      <w:tr w:rsidR="0012127E" w:rsidRPr="00774C22" w14:paraId="3B64E047" w14:textId="77777777" w:rsidTr="00532C03">
        <w:trPr>
          <w:trHeight w:val="1202"/>
        </w:trPr>
        <w:tc>
          <w:tcPr>
            <w:tcW w:w="2376" w:type="dxa"/>
            <w:vAlign w:val="center"/>
          </w:tcPr>
          <w:p w14:paraId="2110AAB4" w14:textId="77777777" w:rsidR="0012127E" w:rsidRDefault="0012127E" w:rsidP="00532C03">
            <w:pPr>
              <w:snapToGrid w:val="0"/>
              <w:jc w:val="center"/>
            </w:pPr>
          </w:p>
          <w:p w14:paraId="177180ED" w14:textId="77777777" w:rsidR="0012127E" w:rsidRDefault="0012127E" w:rsidP="00532C03">
            <w:pPr>
              <w:snapToGrid w:val="0"/>
              <w:jc w:val="center"/>
            </w:pPr>
          </w:p>
          <w:p w14:paraId="786BCD26" w14:textId="77777777" w:rsidR="0012127E" w:rsidRPr="00774C22" w:rsidRDefault="000D68DB" w:rsidP="00532C03">
            <w:pPr>
              <w:snapToGrid w:val="0"/>
              <w:jc w:val="center"/>
            </w:pPr>
            <w:r>
              <w:t xml:space="preserve">Liste des états du </w:t>
            </w:r>
            <w:proofErr w:type="spellStart"/>
            <w:r w:rsidRPr="000D68DB">
              <w:rPr>
                <w:i/>
              </w:rPr>
              <w:t>reporting</w:t>
            </w:r>
            <w:proofErr w:type="spellEnd"/>
            <w:r>
              <w:t xml:space="preserve"> national spécifique</w:t>
            </w:r>
          </w:p>
          <w:p w14:paraId="5AAA2ED4" w14:textId="77777777" w:rsidR="0012127E" w:rsidRPr="00774C22" w:rsidRDefault="0012127E" w:rsidP="00532C03">
            <w:pPr>
              <w:snapToGrid w:val="0"/>
              <w:jc w:val="center"/>
            </w:pPr>
          </w:p>
          <w:p w14:paraId="4DD356F4" w14:textId="77777777"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3FBBA39C" w14:textId="77777777" w:rsidR="0012127E" w:rsidRPr="00774C22" w:rsidRDefault="000D68DB" w:rsidP="0012127E">
            <w:pPr>
              <w:snapToGrid w:val="0"/>
              <w:jc w:val="center"/>
            </w:pPr>
            <w:r>
              <w:t>C0010/R0010 à C0010/R0450</w:t>
            </w:r>
          </w:p>
        </w:tc>
        <w:tc>
          <w:tcPr>
            <w:tcW w:w="5103" w:type="dxa"/>
          </w:tcPr>
          <w:p w14:paraId="1C8070C4" w14:textId="77777777" w:rsidR="0012127E" w:rsidRDefault="000D68DB" w:rsidP="00F82E11">
            <w:pPr>
              <w:snapToGrid w:val="0"/>
            </w:pPr>
            <w:r>
              <w:t>Liste des états</w:t>
            </w:r>
            <w:r w:rsidR="00CE0374">
              <w:t xml:space="preserve"> </w:t>
            </w:r>
            <w:r w:rsidR="00871B4C">
              <w:t>de la remise</w:t>
            </w:r>
            <w:r>
              <w:t>. À chaque fois, l’organisme doit choisir</w:t>
            </w:r>
            <w:r w:rsidR="00871B4C">
              <w:t xml:space="preserve"> une de ces deux o</w:t>
            </w:r>
            <w:r w:rsidR="00701750">
              <w:t>p</w:t>
            </w:r>
            <w:r w:rsidR="00871B4C">
              <w:t>tions</w:t>
            </w:r>
            <w:r>
              <w:t> :</w:t>
            </w:r>
          </w:p>
          <w:p w14:paraId="0672C18F" w14:textId="77777777" w:rsidR="000D68DB" w:rsidRPr="000D68DB" w:rsidRDefault="000D68DB" w:rsidP="000D68DB">
            <w:pPr>
              <w:pStyle w:val="Paragraphedeliste"/>
              <w:numPr>
                <w:ilvl w:val="0"/>
                <w:numId w:val="12"/>
              </w:numPr>
              <w:snapToGrid w:val="0"/>
              <w:rPr>
                <w:i/>
              </w:rPr>
            </w:pPr>
            <w:r w:rsidRPr="000D68DB">
              <w:rPr>
                <w:i/>
              </w:rPr>
              <w:t>Reporté</w:t>
            </w:r>
          </w:p>
          <w:p w14:paraId="7B7840D2" w14:textId="77777777" w:rsidR="000D68DB" w:rsidRPr="000D68DB" w:rsidRDefault="000D68DB" w:rsidP="000D68DB">
            <w:pPr>
              <w:pStyle w:val="Paragraphedeliste"/>
              <w:numPr>
                <w:ilvl w:val="0"/>
                <w:numId w:val="12"/>
              </w:numPr>
              <w:snapToGrid w:val="0"/>
              <w:rPr>
                <w:i/>
              </w:rPr>
            </w:pPr>
            <w:r w:rsidRPr="000D68DB">
              <w:rPr>
                <w:i/>
              </w:rPr>
              <w:t>Non reporté</w:t>
            </w:r>
          </w:p>
          <w:p w14:paraId="4F5BA921" w14:textId="77777777" w:rsidR="000D68DB" w:rsidRDefault="000D68DB" w:rsidP="00871B4C">
            <w:pPr>
              <w:snapToGrid w:val="0"/>
            </w:pPr>
            <w:r>
              <w:t>Même si l’organisme n’est</w:t>
            </w:r>
            <w:r w:rsidR="00871B4C">
              <w:t>,</w:t>
            </w:r>
            <w:r>
              <w:t xml:space="preserve"> par nature</w:t>
            </w:r>
            <w:r w:rsidR="00871B4C">
              <w:t>,</w:t>
            </w:r>
            <w:r>
              <w:t xml:space="preserve"> pas concerné par la remise </w:t>
            </w:r>
            <w:r w:rsidR="00871B4C">
              <w:t xml:space="preserve">des données </w:t>
            </w:r>
            <w:r>
              <w:t>d’un état particulier, il doit indiquer « </w:t>
            </w:r>
            <w:r w:rsidRPr="000D68DB">
              <w:rPr>
                <w:i/>
              </w:rPr>
              <w:t>non reporté</w:t>
            </w:r>
            <w:r>
              <w:t> »</w:t>
            </w:r>
            <w:r w:rsidR="00CE0374">
              <w:t xml:space="preserve"> (</w:t>
            </w:r>
            <w:r w:rsidR="00871B4C">
              <w:t>données obligatoire</w:t>
            </w:r>
            <w:r w:rsidR="00CE0374">
              <w:t>)</w:t>
            </w:r>
            <w:r>
              <w:t>.</w:t>
            </w:r>
          </w:p>
          <w:p w14:paraId="0A74461C" w14:textId="77777777" w:rsidR="00871B4C" w:rsidRDefault="00871B4C" w:rsidP="00871B4C">
            <w:pPr>
              <w:snapToGrid w:val="0"/>
            </w:pPr>
          </w:p>
          <w:p w14:paraId="29B261F6" w14:textId="77777777" w:rsidR="00871B4C" w:rsidRPr="00774C22" w:rsidRDefault="00871B4C" w:rsidP="00701750">
            <w:pPr>
              <w:snapToGrid w:val="0"/>
            </w:pPr>
            <w:r>
              <w:t>La cohérence entre chaque valeur rapportée et l’indicateur de remi</w:t>
            </w:r>
            <w:r w:rsidR="00701750">
              <w:t>s</w:t>
            </w:r>
            <w:r>
              <w:t xml:space="preserve">e correspondant </w:t>
            </w:r>
            <w:r w:rsidR="00701750">
              <w:t>est</w:t>
            </w:r>
            <w:r>
              <w:t xml:space="preserve"> contrôlée.</w:t>
            </w:r>
          </w:p>
        </w:tc>
      </w:tr>
    </w:tbl>
    <w:p w14:paraId="27FCC954" w14:textId="77777777" w:rsidR="00994B09" w:rsidRDefault="00994B09">
      <w:pPr>
        <w:jc w:val="left"/>
      </w:pPr>
    </w:p>
    <w:p w14:paraId="27C46493" w14:textId="77777777" w:rsidR="00994B09" w:rsidRPr="00994B09" w:rsidRDefault="00994B09" w:rsidP="00994B09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994B09">
        <w:rPr>
          <w:rFonts w:ascii="Arial" w:hAnsi="Arial" w:cs="Arial"/>
          <w:b/>
          <w:sz w:val="32"/>
          <w:szCs w:val="32"/>
        </w:rPr>
        <w:t>FR.01.01 –</w:t>
      </w:r>
      <w:r>
        <w:rPr>
          <w:rFonts w:ascii="Arial" w:hAnsi="Arial" w:cs="Arial"/>
          <w:b/>
          <w:sz w:val="32"/>
          <w:szCs w:val="32"/>
        </w:rPr>
        <w:t xml:space="preserve"> tableau</w:t>
      </w:r>
    </w:p>
    <w:p w14:paraId="345312B3" w14:textId="77777777" w:rsidR="000A2FDA" w:rsidRDefault="000A2FDA" w:rsidP="00994B09"/>
    <w:p w14:paraId="720138D0" w14:textId="77777777" w:rsidR="005A7624" w:rsidRDefault="005A7624" w:rsidP="00994B09">
      <w:r w:rsidRPr="005A7624">
        <w:rPr>
          <w:noProof/>
        </w:rPr>
        <w:drawing>
          <wp:inline distT="0" distB="0" distL="0" distR="0" wp14:anchorId="0E1802FA" wp14:editId="4A36EBD3">
            <wp:extent cx="6479540" cy="43630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36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D70F5" w14:textId="134A3071" w:rsidR="00994B09" w:rsidRDefault="00994B09" w:rsidP="00994B09"/>
    <w:p w14:paraId="37134856" w14:textId="77777777" w:rsidR="007E6256" w:rsidRDefault="007E6256" w:rsidP="00994B09">
      <w:r>
        <w:br w:type="page"/>
      </w:r>
    </w:p>
    <w:p w14:paraId="79CAE334" w14:textId="77777777" w:rsidR="007E6256" w:rsidRDefault="007E6256" w:rsidP="00D61A70">
      <w:pPr>
        <w:sectPr w:rsidR="007E6256" w:rsidSect="008D4C4C">
          <w:footerReference w:type="default" r:id="rId10"/>
          <w:pgSz w:w="11906" w:h="16838"/>
          <w:pgMar w:top="851" w:right="851" w:bottom="851" w:left="851" w:header="720" w:footer="720" w:gutter="0"/>
          <w:cols w:space="720"/>
        </w:sectPr>
      </w:pPr>
    </w:p>
    <w:p w14:paraId="777B4B88" w14:textId="77777777" w:rsidR="007E6256" w:rsidRDefault="007E6256" w:rsidP="00D61A70"/>
    <w:p w14:paraId="500D942B" w14:textId="77777777" w:rsidR="00F056F6" w:rsidRPr="00994B09" w:rsidRDefault="00994B09" w:rsidP="007E6256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994B09">
        <w:rPr>
          <w:rFonts w:ascii="Arial" w:hAnsi="Arial" w:cs="Arial"/>
          <w:b/>
          <w:sz w:val="32"/>
          <w:szCs w:val="32"/>
        </w:rPr>
        <w:t xml:space="preserve">FR.01.02 </w:t>
      </w:r>
      <w:r w:rsidR="00E453E8">
        <w:rPr>
          <w:rFonts w:ascii="Arial" w:hAnsi="Arial" w:cs="Arial"/>
          <w:b/>
          <w:sz w:val="32"/>
          <w:szCs w:val="32"/>
        </w:rPr>
        <w:t>–</w:t>
      </w:r>
      <w:r w:rsidRPr="00994B09">
        <w:rPr>
          <w:rFonts w:ascii="Arial" w:hAnsi="Arial" w:cs="Arial"/>
          <w:b/>
          <w:sz w:val="32"/>
          <w:szCs w:val="32"/>
        </w:rPr>
        <w:t xml:space="preserve"> définition</w:t>
      </w:r>
    </w:p>
    <w:p w14:paraId="33FA27E3" w14:textId="77777777" w:rsidR="00994B09" w:rsidRDefault="00994B09" w:rsidP="00994B09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994B09" w:rsidRPr="000A4097" w14:paraId="5645AA53" w14:textId="77777777" w:rsidTr="0048174E">
        <w:trPr>
          <w:trHeight w:val="243"/>
        </w:trPr>
        <w:tc>
          <w:tcPr>
            <w:tcW w:w="2376" w:type="dxa"/>
          </w:tcPr>
          <w:p w14:paraId="1ED90962" w14:textId="77777777" w:rsidR="00994B09" w:rsidRPr="000A4097" w:rsidRDefault="00994B09" w:rsidP="0048174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</w:t>
            </w:r>
            <w:r w:rsidR="00871B4C">
              <w:rPr>
                <w:b/>
              </w:rPr>
              <w:t>É</w:t>
            </w:r>
          </w:p>
        </w:tc>
        <w:tc>
          <w:tcPr>
            <w:tcW w:w="1843" w:type="dxa"/>
          </w:tcPr>
          <w:p w14:paraId="0749A6E2" w14:textId="77777777" w:rsidR="00994B09" w:rsidRPr="000A4097" w:rsidRDefault="00994B09" w:rsidP="0048174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CODE</w:t>
            </w:r>
            <w:r w:rsidRPr="000A4097">
              <w:rPr>
                <w:b/>
              </w:rPr>
              <w:t xml:space="preserve"> D</w:t>
            </w:r>
            <w:r>
              <w:rPr>
                <w:b/>
              </w:rPr>
              <w:t>U CHAMPS</w:t>
            </w:r>
          </w:p>
        </w:tc>
        <w:tc>
          <w:tcPr>
            <w:tcW w:w="5103" w:type="dxa"/>
          </w:tcPr>
          <w:p w14:paraId="2F93DB02" w14:textId="77777777" w:rsidR="00994B09" w:rsidRPr="000A4097" w:rsidRDefault="00994B09" w:rsidP="00701750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</w:t>
            </w:r>
            <w:r w:rsidR="00871B4C">
              <w:rPr>
                <w:b/>
              </w:rPr>
              <w:t>É</w:t>
            </w:r>
            <w:r w:rsidRPr="000A4097">
              <w:rPr>
                <w:b/>
              </w:rPr>
              <w:t>FINITION</w:t>
            </w:r>
            <w:r w:rsidR="00871B4C">
              <w:rPr>
                <w:b/>
              </w:rPr>
              <w:t>S</w:t>
            </w:r>
            <w:r>
              <w:rPr>
                <w:b/>
              </w:rPr>
              <w:t xml:space="preserve"> ET </w:t>
            </w:r>
            <w:r w:rsidR="00871B4C">
              <w:rPr>
                <w:b/>
              </w:rPr>
              <w:t>CONTR</w:t>
            </w:r>
            <w:r w:rsidR="00701750">
              <w:rPr>
                <w:b/>
              </w:rPr>
              <w:t>Ô</w:t>
            </w:r>
            <w:r w:rsidR="00871B4C">
              <w:rPr>
                <w:b/>
              </w:rPr>
              <w:t>LES</w:t>
            </w:r>
          </w:p>
        </w:tc>
      </w:tr>
      <w:tr w:rsidR="00994B09" w:rsidRPr="00774C22" w14:paraId="4BACAFBA" w14:textId="77777777" w:rsidTr="00994B09">
        <w:trPr>
          <w:trHeight w:val="313"/>
        </w:trPr>
        <w:tc>
          <w:tcPr>
            <w:tcW w:w="2376" w:type="dxa"/>
            <w:vAlign w:val="center"/>
          </w:tcPr>
          <w:p w14:paraId="49A420BF" w14:textId="77777777" w:rsidR="00994B09" w:rsidRPr="00774C22" w:rsidRDefault="00994B09" w:rsidP="0048174E">
            <w:pPr>
              <w:snapToGrid w:val="0"/>
              <w:jc w:val="center"/>
            </w:pPr>
            <w:r w:rsidRPr="00994B09">
              <w:t>Nom de l'entit</w:t>
            </w:r>
            <w:r>
              <w:t>é</w:t>
            </w:r>
          </w:p>
        </w:tc>
        <w:tc>
          <w:tcPr>
            <w:tcW w:w="1843" w:type="dxa"/>
            <w:vAlign w:val="center"/>
          </w:tcPr>
          <w:p w14:paraId="38891D1F" w14:textId="77777777" w:rsidR="00994B09" w:rsidRPr="00774C22" w:rsidRDefault="00994B09" w:rsidP="00994B09">
            <w:pPr>
              <w:snapToGrid w:val="0"/>
              <w:jc w:val="center"/>
            </w:pPr>
            <w:r>
              <w:t>C0010/R0010</w:t>
            </w:r>
          </w:p>
        </w:tc>
        <w:tc>
          <w:tcPr>
            <w:tcW w:w="5103" w:type="dxa"/>
          </w:tcPr>
          <w:p w14:paraId="7F2F1104" w14:textId="77777777" w:rsidR="00994B09" w:rsidRPr="00774C22" w:rsidRDefault="00994B09" w:rsidP="005A4E44">
            <w:pPr>
              <w:snapToGrid w:val="0"/>
            </w:pPr>
            <w:r>
              <w:t xml:space="preserve">Nom </w:t>
            </w:r>
            <w:r w:rsidR="00871B4C">
              <w:t xml:space="preserve">légal </w:t>
            </w:r>
            <w:r>
              <w:t>de l’organisme d’assurance</w:t>
            </w:r>
            <w:r w:rsidR="005A4E44">
              <w:t>.</w:t>
            </w:r>
          </w:p>
        </w:tc>
      </w:tr>
      <w:tr w:rsidR="00994B09" w:rsidRPr="00774C22" w14:paraId="1F8EDE3C" w14:textId="77777777" w:rsidTr="00994B09">
        <w:trPr>
          <w:trHeight w:val="262"/>
        </w:trPr>
        <w:tc>
          <w:tcPr>
            <w:tcW w:w="2376" w:type="dxa"/>
            <w:vAlign w:val="center"/>
          </w:tcPr>
          <w:p w14:paraId="3ADE545A" w14:textId="77777777" w:rsidR="00994B09" w:rsidRDefault="00994B09" w:rsidP="0048174E">
            <w:pPr>
              <w:snapToGrid w:val="0"/>
              <w:jc w:val="center"/>
            </w:pPr>
            <w:r w:rsidRPr="00994B09">
              <w:t>Code de l'entité</w:t>
            </w:r>
          </w:p>
        </w:tc>
        <w:tc>
          <w:tcPr>
            <w:tcW w:w="1843" w:type="dxa"/>
            <w:vAlign w:val="center"/>
          </w:tcPr>
          <w:p w14:paraId="7E56DC1B" w14:textId="77777777" w:rsidR="00994B09" w:rsidRDefault="00994B09" w:rsidP="0048174E">
            <w:pPr>
              <w:snapToGrid w:val="0"/>
              <w:jc w:val="center"/>
            </w:pPr>
            <w:r>
              <w:t>C0010/R0020</w:t>
            </w:r>
          </w:p>
        </w:tc>
        <w:tc>
          <w:tcPr>
            <w:tcW w:w="5103" w:type="dxa"/>
          </w:tcPr>
          <w:p w14:paraId="6546E8B9" w14:textId="77777777" w:rsidR="003C1864" w:rsidRDefault="003C1864" w:rsidP="003C1864">
            <w:pPr>
              <w:jc w:val="left"/>
            </w:pPr>
            <w:r w:rsidRPr="008E18CF">
              <w:t>Numéro d’identification</w:t>
            </w:r>
            <w:r>
              <w:t xml:space="preserve"> </w:t>
            </w:r>
            <w:r w:rsidRPr="008E18CF">
              <w:t>de</w:t>
            </w:r>
            <w:r>
              <w:t xml:space="preserve"> l’organisme.</w:t>
            </w:r>
          </w:p>
          <w:p w14:paraId="6C5AF737" w14:textId="2B5B9936" w:rsidR="003C1864" w:rsidRDefault="005A1AC2" w:rsidP="003C1864">
            <w:pPr>
              <w:jc w:val="left"/>
            </w:pPr>
            <w:r>
              <w:t>L</w:t>
            </w:r>
            <w:r w:rsidR="003C1864">
              <w:t xml:space="preserve">’identifiant à utiliser est le LEI (en cohérence avec l’identification demandée dans le </w:t>
            </w:r>
            <w:proofErr w:type="spellStart"/>
            <w:r w:rsidR="003C1864" w:rsidRPr="003D04C2">
              <w:rPr>
                <w:i/>
              </w:rPr>
              <w:t>reporting</w:t>
            </w:r>
            <w:proofErr w:type="spellEnd"/>
            <w:r w:rsidR="003C1864">
              <w:t xml:space="preserve"> Solvabilité II).</w:t>
            </w:r>
          </w:p>
          <w:p w14:paraId="78CAFC67" w14:textId="77777777" w:rsidR="003C1864" w:rsidRDefault="003C1864" w:rsidP="003C1864">
            <w:pPr>
              <w:jc w:val="left"/>
            </w:pPr>
          </w:p>
          <w:p w14:paraId="1E41EC56" w14:textId="5E4934B8" w:rsidR="003C1864" w:rsidRDefault="005A1AC2" w:rsidP="003C1864">
            <w:pPr>
              <w:jc w:val="left"/>
            </w:pPr>
            <w:r>
              <w:t>C</w:t>
            </w:r>
            <w:r w:rsidR="003C1864">
              <w:t xml:space="preserve">omme dans le </w:t>
            </w:r>
            <w:proofErr w:type="spellStart"/>
            <w:r w:rsidR="003C1864" w:rsidRPr="003C1864">
              <w:rPr>
                <w:i/>
              </w:rPr>
              <w:t>reporting</w:t>
            </w:r>
            <w:proofErr w:type="spellEnd"/>
            <w:r w:rsidR="003C1864">
              <w:t xml:space="preserve"> Solvabilité II, il convient de renseigner ce champ dans le respect des règles de remise XBRL, en indiquant le type de code (</w:t>
            </w:r>
            <w:proofErr w:type="gramStart"/>
            <w:r w:rsidR="003C1864">
              <w:t>LEI )</w:t>
            </w:r>
            <w:proofErr w:type="gramEnd"/>
            <w:r w:rsidR="003C1864">
              <w:t xml:space="preserve"> puis le code de la façon suivante :</w:t>
            </w:r>
          </w:p>
          <w:p w14:paraId="44EEFDE4" w14:textId="5D665199" w:rsidR="00994B09" w:rsidRDefault="003C1864" w:rsidP="00F11088">
            <w:pPr>
              <w:pStyle w:val="Paragraphedeliste"/>
              <w:numPr>
                <w:ilvl w:val="0"/>
                <w:numId w:val="13"/>
              </w:numPr>
              <w:jc w:val="left"/>
            </w:pPr>
            <w:r>
              <w:t>« LEI/XXXXXXXXXXXXXXXXXXXX »</w:t>
            </w:r>
          </w:p>
        </w:tc>
      </w:tr>
      <w:tr w:rsidR="00994B09" w:rsidRPr="00774C22" w14:paraId="5DE44B46" w14:textId="77777777" w:rsidTr="0048174E">
        <w:trPr>
          <w:trHeight w:val="1202"/>
        </w:trPr>
        <w:tc>
          <w:tcPr>
            <w:tcW w:w="2376" w:type="dxa"/>
            <w:vAlign w:val="center"/>
          </w:tcPr>
          <w:p w14:paraId="46F0656F" w14:textId="77777777" w:rsidR="00994B09" w:rsidRDefault="003C1864" w:rsidP="0048174E">
            <w:pPr>
              <w:snapToGrid w:val="0"/>
              <w:jc w:val="center"/>
            </w:pPr>
            <w:r w:rsidRPr="003C1864">
              <w:t>Type de remettant</w:t>
            </w:r>
          </w:p>
        </w:tc>
        <w:tc>
          <w:tcPr>
            <w:tcW w:w="1843" w:type="dxa"/>
            <w:vAlign w:val="center"/>
          </w:tcPr>
          <w:p w14:paraId="0F7031AA" w14:textId="77777777" w:rsidR="00994B09" w:rsidRDefault="003C1864" w:rsidP="0048174E">
            <w:pPr>
              <w:snapToGrid w:val="0"/>
              <w:jc w:val="center"/>
            </w:pPr>
            <w:r>
              <w:t>C0010/R0030</w:t>
            </w:r>
          </w:p>
        </w:tc>
        <w:tc>
          <w:tcPr>
            <w:tcW w:w="5103" w:type="dxa"/>
          </w:tcPr>
          <w:p w14:paraId="5E2DEE2B" w14:textId="77777777" w:rsidR="00994B09" w:rsidRDefault="003C1864" w:rsidP="0048174E">
            <w:pPr>
              <w:snapToGrid w:val="0"/>
            </w:pPr>
            <w:r>
              <w:t xml:space="preserve">Référentiel juridique auquel est soumis l’organisme d’assurance. Pour renseigner ce champ, l’organisme doit choisir </w:t>
            </w:r>
            <w:r w:rsidR="00871B4C">
              <w:t xml:space="preserve">une de ces </w:t>
            </w:r>
            <w:r>
              <w:t>trois options :</w:t>
            </w:r>
          </w:p>
          <w:p w14:paraId="2316D64B" w14:textId="77777777" w:rsidR="003C1864" w:rsidRP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Entité régie par le code de la mutualité</w:t>
            </w:r>
          </w:p>
          <w:p w14:paraId="3E27B996" w14:textId="77777777" w:rsidR="003C1864" w:rsidRP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Entité régie par le code de la sécurité sociale</w:t>
            </w:r>
          </w:p>
          <w:p w14:paraId="15078E21" w14:textId="77777777" w:rsid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</w:pPr>
            <w:r w:rsidRPr="003C1864">
              <w:rPr>
                <w:i/>
              </w:rPr>
              <w:t>Entité régie par le code des assurances</w:t>
            </w:r>
          </w:p>
        </w:tc>
      </w:tr>
      <w:tr w:rsidR="00994B09" w:rsidRPr="00774C22" w14:paraId="36B0F9AF" w14:textId="77777777" w:rsidTr="0048174E">
        <w:trPr>
          <w:trHeight w:val="1202"/>
        </w:trPr>
        <w:tc>
          <w:tcPr>
            <w:tcW w:w="2376" w:type="dxa"/>
            <w:vAlign w:val="center"/>
          </w:tcPr>
          <w:p w14:paraId="1A289A9E" w14:textId="77777777" w:rsidR="00994B09" w:rsidRDefault="003C1864" w:rsidP="0048174E">
            <w:pPr>
              <w:snapToGrid w:val="0"/>
              <w:jc w:val="center"/>
            </w:pPr>
            <w:r w:rsidRPr="003C1864">
              <w:t>Type d'agrément</w:t>
            </w:r>
          </w:p>
        </w:tc>
        <w:tc>
          <w:tcPr>
            <w:tcW w:w="1843" w:type="dxa"/>
            <w:vAlign w:val="center"/>
          </w:tcPr>
          <w:p w14:paraId="22C05F3D" w14:textId="77777777" w:rsidR="00994B09" w:rsidRDefault="003C1864" w:rsidP="0048174E">
            <w:pPr>
              <w:snapToGrid w:val="0"/>
              <w:jc w:val="center"/>
            </w:pPr>
            <w:r>
              <w:t>C0010/R0040</w:t>
            </w:r>
          </w:p>
        </w:tc>
        <w:tc>
          <w:tcPr>
            <w:tcW w:w="5103" w:type="dxa"/>
          </w:tcPr>
          <w:p w14:paraId="491277B5" w14:textId="77777777" w:rsidR="003C1864" w:rsidRDefault="00871B4C" w:rsidP="0048174E">
            <w:pPr>
              <w:snapToGrid w:val="0"/>
            </w:pPr>
            <w:r>
              <w:t>T</w:t>
            </w:r>
            <w:r w:rsidR="003C1864">
              <w:t xml:space="preserve">ype d’agrément de l’organisme. Pour renseigner ce champ, l’organisme doit choisir </w:t>
            </w:r>
            <w:r>
              <w:t xml:space="preserve">une de ces </w:t>
            </w:r>
            <w:r w:rsidR="003C1864">
              <w:t>quatre options :</w:t>
            </w:r>
          </w:p>
          <w:p w14:paraId="64873EB5" w14:textId="77777777" w:rsidR="00994B09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Vie</w:t>
            </w:r>
          </w:p>
          <w:p w14:paraId="337D8B6F" w14:textId="77777777" w:rsidR="003C1864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Non</w:t>
            </w:r>
            <w:r w:rsidR="00871B4C">
              <w:rPr>
                <w:i/>
              </w:rPr>
              <w:t>-</w:t>
            </w:r>
            <w:r w:rsidRPr="003C1864">
              <w:rPr>
                <w:i/>
              </w:rPr>
              <w:t>Vie</w:t>
            </w:r>
          </w:p>
          <w:p w14:paraId="725AE774" w14:textId="77777777" w:rsidR="003C1864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Mixte</w:t>
            </w:r>
          </w:p>
          <w:p w14:paraId="246E4DF2" w14:textId="77777777" w:rsid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</w:pPr>
            <w:r w:rsidRPr="003C1864">
              <w:rPr>
                <w:i/>
              </w:rPr>
              <w:t>Réassurance</w:t>
            </w:r>
          </w:p>
        </w:tc>
      </w:tr>
      <w:tr w:rsidR="00994B09" w:rsidRPr="00774C22" w14:paraId="4BE91E18" w14:textId="77777777" w:rsidTr="00CE0374">
        <w:trPr>
          <w:trHeight w:val="752"/>
        </w:trPr>
        <w:tc>
          <w:tcPr>
            <w:tcW w:w="2376" w:type="dxa"/>
            <w:vAlign w:val="center"/>
          </w:tcPr>
          <w:p w14:paraId="3E676DF7" w14:textId="77777777" w:rsidR="00994B09" w:rsidRDefault="003C1864" w:rsidP="0048174E">
            <w:pPr>
              <w:snapToGrid w:val="0"/>
              <w:jc w:val="center"/>
            </w:pPr>
            <w:r w:rsidRPr="003C1864">
              <w:t>Date de remise</w:t>
            </w:r>
          </w:p>
        </w:tc>
        <w:tc>
          <w:tcPr>
            <w:tcW w:w="1843" w:type="dxa"/>
            <w:vAlign w:val="center"/>
          </w:tcPr>
          <w:p w14:paraId="20F269D5" w14:textId="77777777" w:rsidR="00994B09" w:rsidRDefault="003C1864" w:rsidP="0048174E">
            <w:pPr>
              <w:snapToGrid w:val="0"/>
              <w:jc w:val="center"/>
            </w:pPr>
            <w:r>
              <w:t>C0010/R0050</w:t>
            </w:r>
          </w:p>
        </w:tc>
        <w:tc>
          <w:tcPr>
            <w:tcW w:w="5103" w:type="dxa"/>
          </w:tcPr>
          <w:p w14:paraId="0ED2E6B3" w14:textId="77777777" w:rsidR="00994B09" w:rsidRDefault="00871B4C" w:rsidP="00E453E8">
            <w:pPr>
              <w:snapToGrid w:val="0"/>
            </w:pPr>
            <w:r>
              <w:t>D</w:t>
            </w:r>
            <w:r w:rsidR="00CE0374">
              <w:t xml:space="preserve">ate à laquelle l’organisme communique ses informations à l’ACPR. Il doit être renseigné </w:t>
            </w:r>
            <w:r w:rsidR="00E453E8">
              <w:t xml:space="preserve">dans l’instance XBRL </w:t>
            </w:r>
            <w:r w:rsidR="00CE0374">
              <w:t xml:space="preserve">au format </w:t>
            </w:r>
            <w:r w:rsidR="00E453E8">
              <w:t xml:space="preserve">ISO 8601 </w:t>
            </w:r>
            <w:r w:rsidR="00CE0374">
              <w:t>année</w:t>
            </w:r>
            <w:r w:rsidR="00E453E8">
              <w:t>-</w:t>
            </w:r>
            <w:r w:rsidR="00CE0374">
              <w:t>mois</w:t>
            </w:r>
            <w:r w:rsidR="00E453E8">
              <w:t>-</w:t>
            </w:r>
            <w:r w:rsidR="00CE0374">
              <w:t>jour (« </w:t>
            </w:r>
            <w:r w:rsidR="00E453E8">
              <w:t>AAAA-MM-JJ</w:t>
            </w:r>
            <w:r w:rsidR="00CE0374">
              <w:t> »).</w:t>
            </w:r>
          </w:p>
        </w:tc>
      </w:tr>
      <w:tr w:rsidR="00CE0374" w:rsidRPr="00774C22" w14:paraId="19E9A240" w14:textId="77777777" w:rsidTr="00CE0374">
        <w:trPr>
          <w:trHeight w:val="821"/>
        </w:trPr>
        <w:tc>
          <w:tcPr>
            <w:tcW w:w="2376" w:type="dxa"/>
            <w:vAlign w:val="center"/>
          </w:tcPr>
          <w:p w14:paraId="493459FB" w14:textId="77777777" w:rsidR="00CE0374" w:rsidRPr="003C1864" w:rsidRDefault="00CE0374" w:rsidP="0048174E">
            <w:pPr>
              <w:snapToGrid w:val="0"/>
              <w:jc w:val="center"/>
            </w:pPr>
            <w:r w:rsidRPr="00CE0374">
              <w:t>Date d'arrêté</w:t>
            </w:r>
          </w:p>
        </w:tc>
        <w:tc>
          <w:tcPr>
            <w:tcW w:w="1843" w:type="dxa"/>
            <w:vAlign w:val="center"/>
          </w:tcPr>
          <w:p w14:paraId="786CD529" w14:textId="77777777" w:rsidR="00CE0374" w:rsidRDefault="00CE0374" w:rsidP="0048174E">
            <w:pPr>
              <w:snapToGrid w:val="0"/>
              <w:jc w:val="center"/>
            </w:pPr>
            <w:r>
              <w:t>C0010/R0060</w:t>
            </w:r>
          </w:p>
        </w:tc>
        <w:tc>
          <w:tcPr>
            <w:tcW w:w="5103" w:type="dxa"/>
          </w:tcPr>
          <w:p w14:paraId="023A8414" w14:textId="77777777" w:rsidR="00CE0374" w:rsidRDefault="00E453E8" w:rsidP="00E453E8">
            <w:pPr>
              <w:snapToGrid w:val="0"/>
            </w:pPr>
            <w:r>
              <w:t>D</w:t>
            </w:r>
            <w:r w:rsidR="00CE0374">
              <w:t xml:space="preserve">ate à laquelle l’organisme clôture son exercice. </w:t>
            </w:r>
            <w:r>
              <w:t>Il doit être renseigné dans l’instance XBRL au format ISO 8601 année-mois-jour (« AAAA-MM-JJ »).</w:t>
            </w:r>
          </w:p>
        </w:tc>
      </w:tr>
    </w:tbl>
    <w:p w14:paraId="33022075" w14:textId="77777777" w:rsidR="00E453E8" w:rsidRDefault="00E453E8" w:rsidP="00994B09">
      <w:pPr>
        <w:rPr>
          <w:b/>
        </w:rPr>
      </w:pPr>
    </w:p>
    <w:p w14:paraId="73A4039D" w14:textId="77777777" w:rsidR="00CE0374" w:rsidRPr="00CE0374" w:rsidRDefault="00CE0374" w:rsidP="00CE0374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CE0374">
        <w:rPr>
          <w:rFonts w:ascii="Arial" w:hAnsi="Arial" w:cs="Arial"/>
          <w:b/>
          <w:sz w:val="32"/>
          <w:szCs w:val="32"/>
        </w:rPr>
        <w:t>FR.01.02 – tableau</w:t>
      </w:r>
    </w:p>
    <w:p w14:paraId="762B9970" w14:textId="77777777" w:rsidR="00CE0374" w:rsidRDefault="00CE0374" w:rsidP="00CE0374">
      <w:pPr>
        <w:rPr>
          <w:b/>
        </w:rPr>
      </w:pPr>
    </w:p>
    <w:p w14:paraId="01AA6430" w14:textId="77777777" w:rsidR="00CE0374" w:rsidRPr="00CE0374" w:rsidRDefault="008D4C4C" w:rsidP="00CE0374">
      <w:pPr>
        <w:rPr>
          <w:b/>
        </w:rPr>
      </w:pPr>
      <w:r w:rsidRPr="008D4C4C">
        <w:rPr>
          <w:noProof/>
        </w:rPr>
        <w:drawing>
          <wp:inline distT="0" distB="0" distL="0" distR="0" wp14:anchorId="71B5FD65" wp14:editId="0E525B23">
            <wp:extent cx="4512506" cy="226771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006" cy="226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0374" w:rsidRPr="00CE0374" w:rsidSect="00994B09">
      <w:pgSz w:w="11906" w:h="16838"/>
      <w:pgMar w:top="567" w:right="567" w:bottom="56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A148D" w14:textId="77777777" w:rsidR="00A71F75" w:rsidRDefault="00A71F75" w:rsidP="00D61A70">
      <w:r>
        <w:separator/>
      </w:r>
    </w:p>
  </w:endnote>
  <w:endnote w:type="continuationSeparator" w:id="0">
    <w:p w14:paraId="0E872F5E" w14:textId="77777777" w:rsidR="00A71F75" w:rsidRDefault="00A71F75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63219"/>
      <w:docPartObj>
        <w:docPartGallery w:val="Page Numbers (Bottom of Page)"/>
        <w:docPartUnique/>
      </w:docPartObj>
    </w:sdtPr>
    <w:sdtContent>
      <w:p w14:paraId="01B77D92" w14:textId="295A0EBE"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0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5901DC" w14:textId="77777777"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9B588" w14:textId="77777777" w:rsidR="00A71F75" w:rsidRDefault="00A71F75" w:rsidP="00D61A70">
      <w:r>
        <w:separator/>
      </w:r>
    </w:p>
  </w:footnote>
  <w:footnote w:type="continuationSeparator" w:id="0">
    <w:p w14:paraId="0E8BD39F" w14:textId="77777777" w:rsidR="00A71F75" w:rsidRDefault="00A71F75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20A2110"/>
    <w:multiLevelType w:val="hybridMultilevel"/>
    <w:tmpl w:val="24589310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51A62E9"/>
    <w:multiLevelType w:val="hybridMultilevel"/>
    <w:tmpl w:val="018CA83A"/>
    <w:lvl w:ilvl="0" w:tplc="3F5883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7717F"/>
    <w:multiLevelType w:val="hybridMultilevel"/>
    <w:tmpl w:val="E14CD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0158E"/>
    <w:multiLevelType w:val="hybridMultilevel"/>
    <w:tmpl w:val="3286BBC8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F69A2"/>
    <w:multiLevelType w:val="hybridMultilevel"/>
    <w:tmpl w:val="E4EE0428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685179972">
    <w:abstractNumId w:val="10"/>
  </w:num>
  <w:num w:numId="2" w16cid:durableId="1786074313">
    <w:abstractNumId w:val="10"/>
  </w:num>
  <w:num w:numId="3" w16cid:durableId="1510679001">
    <w:abstractNumId w:val="10"/>
  </w:num>
  <w:num w:numId="4" w16cid:durableId="519514993">
    <w:abstractNumId w:val="10"/>
  </w:num>
  <w:num w:numId="5" w16cid:durableId="2142646712">
    <w:abstractNumId w:val="10"/>
  </w:num>
  <w:num w:numId="6" w16cid:durableId="712728308">
    <w:abstractNumId w:val="1"/>
  </w:num>
  <w:num w:numId="7" w16cid:durableId="93329575">
    <w:abstractNumId w:val="5"/>
  </w:num>
  <w:num w:numId="8" w16cid:durableId="1974752736">
    <w:abstractNumId w:val="3"/>
  </w:num>
  <w:num w:numId="9" w16cid:durableId="399325477">
    <w:abstractNumId w:val="6"/>
  </w:num>
  <w:num w:numId="10" w16cid:durableId="1841001790">
    <w:abstractNumId w:val="0"/>
  </w:num>
  <w:num w:numId="11" w16cid:durableId="42103629">
    <w:abstractNumId w:val="7"/>
  </w:num>
  <w:num w:numId="12" w16cid:durableId="1388603499">
    <w:abstractNumId w:val="2"/>
  </w:num>
  <w:num w:numId="13" w16cid:durableId="2082674191">
    <w:abstractNumId w:val="4"/>
  </w:num>
  <w:num w:numId="14" w16cid:durableId="1902016348">
    <w:abstractNumId w:val="9"/>
  </w:num>
  <w:num w:numId="15" w16cid:durableId="969514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A70"/>
    <w:rsid w:val="00061524"/>
    <w:rsid w:val="00072BA9"/>
    <w:rsid w:val="000A2FDA"/>
    <w:rsid w:val="000B0226"/>
    <w:rsid w:val="000C3928"/>
    <w:rsid w:val="000C4FED"/>
    <w:rsid w:val="000D68DB"/>
    <w:rsid w:val="000E5E45"/>
    <w:rsid w:val="0010222D"/>
    <w:rsid w:val="0012127E"/>
    <w:rsid w:val="00124EEB"/>
    <w:rsid w:val="001C3FCA"/>
    <w:rsid w:val="001D7CEA"/>
    <w:rsid w:val="00202BEF"/>
    <w:rsid w:val="002133F7"/>
    <w:rsid w:val="00235D1C"/>
    <w:rsid w:val="0024186E"/>
    <w:rsid w:val="002B7395"/>
    <w:rsid w:val="002D31CA"/>
    <w:rsid w:val="002F7801"/>
    <w:rsid w:val="00362E93"/>
    <w:rsid w:val="003C1864"/>
    <w:rsid w:val="00446A3F"/>
    <w:rsid w:val="00447347"/>
    <w:rsid w:val="00470D75"/>
    <w:rsid w:val="004C5C4E"/>
    <w:rsid w:val="004E7D53"/>
    <w:rsid w:val="004F5FB9"/>
    <w:rsid w:val="00532C03"/>
    <w:rsid w:val="00563F1D"/>
    <w:rsid w:val="005A1AC2"/>
    <w:rsid w:val="005A4E44"/>
    <w:rsid w:val="005A7624"/>
    <w:rsid w:val="005B0D54"/>
    <w:rsid w:val="005E2F20"/>
    <w:rsid w:val="005E4887"/>
    <w:rsid w:val="0061247F"/>
    <w:rsid w:val="006A6FFE"/>
    <w:rsid w:val="006B3434"/>
    <w:rsid w:val="006C1E92"/>
    <w:rsid w:val="006C2E44"/>
    <w:rsid w:val="00701750"/>
    <w:rsid w:val="00727577"/>
    <w:rsid w:val="00742B4B"/>
    <w:rsid w:val="0074713F"/>
    <w:rsid w:val="00747959"/>
    <w:rsid w:val="007A15AF"/>
    <w:rsid w:val="007B3F06"/>
    <w:rsid w:val="007D6140"/>
    <w:rsid w:val="007E6256"/>
    <w:rsid w:val="008401ED"/>
    <w:rsid w:val="00871B4C"/>
    <w:rsid w:val="008802EC"/>
    <w:rsid w:val="008A1581"/>
    <w:rsid w:val="008C5A3C"/>
    <w:rsid w:val="008D4C4C"/>
    <w:rsid w:val="008E2ECA"/>
    <w:rsid w:val="00954CDB"/>
    <w:rsid w:val="00994B09"/>
    <w:rsid w:val="009A6A5C"/>
    <w:rsid w:val="00A322CB"/>
    <w:rsid w:val="00A71F75"/>
    <w:rsid w:val="00A82795"/>
    <w:rsid w:val="00A86FE9"/>
    <w:rsid w:val="00B132AB"/>
    <w:rsid w:val="00B32C40"/>
    <w:rsid w:val="00BA1025"/>
    <w:rsid w:val="00BC232F"/>
    <w:rsid w:val="00C02123"/>
    <w:rsid w:val="00C03FE0"/>
    <w:rsid w:val="00C51634"/>
    <w:rsid w:val="00C544BA"/>
    <w:rsid w:val="00C57F8C"/>
    <w:rsid w:val="00C701E2"/>
    <w:rsid w:val="00C8692D"/>
    <w:rsid w:val="00C912A3"/>
    <w:rsid w:val="00CC5737"/>
    <w:rsid w:val="00CD44AD"/>
    <w:rsid w:val="00CE0374"/>
    <w:rsid w:val="00CF2B5C"/>
    <w:rsid w:val="00CF5C8E"/>
    <w:rsid w:val="00CF6638"/>
    <w:rsid w:val="00D0080A"/>
    <w:rsid w:val="00D420A3"/>
    <w:rsid w:val="00D61A70"/>
    <w:rsid w:val="00DB198D"/>
    <w:rsid w:val="00DE17B3"/>
    <w:rsid w:val="00DE2DB3"/>
    <w:rsid w:val="00E453E8"/>
    <w:rsid w:val="00E51E1A"/>
    <w:rsid w:val="00E633C0"/>
    <w:rsid w:val="00E706C9"/>
    <w:rsid w:val="00E912DF"/>
    <w:rsid w:val="00F056F6"/>
    <w:rsid w:val="00F11088"/>
    <w:rsid w:val="00F1302A"/>
    <w:rsid w:val="00F2699D"/>
    <w:rsid w:val="00F422E4"/>
    <w:rsid w:val="00F4788E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39556"/>
  <w15:docId w15:val="{103CEA67-F791-4696-B8F7-DFC2CE74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1C3FC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E602-AAD5-41D0-9859-01005E21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GRUFFAT</dc:creator>
  <cp:keywords/>
  <dc:description/>
  <cp:lastModifiedBy>DIAGNE Afissa-Elodie (SGACPR DAI)</cp:lastModifiedBy>
  <cp:revision>5</cp:revision>
  <cp:lastPrinted>2013-05-14T07:44:00Z</cp:lastPrinted>
  <dcterms:created xsi:type="dcterms:W3CDTF">2026-02-01T17:04:00Z</dcterms:created>
  <dcterms:modified xsi:type="dcterms:W3CDTF">2026-02-05T15:57:00Z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8f1332-2cfb-404a-934f-6a2bfd1bd80c_Enabled">
    <vt:lpwstr>true</vt:lpwstr>
  </property>
  <property fmtid="{D5CDD505-2E9C-101B-9397-08002B2CF9AE}" pid="3" name="MSIP_Label_c08f1332-2cfb-404a-934f-6a2bfd1bd80c_SetDate">
    <vt:lpwstr>2026-02-01T16:58:50Z</vt:lpwstr>
  </property>
  <property fmtid="{D5CDD505-2E9C-101B-9397-08002B2CF9AE}" pid="4" name="MSIP_Label_c08f1332-2cfb-404a-934f-6a2bfd1bd80c_Method">
    <vt:lpwstr>Privileged</vt:lpwstr>
  </property>
  <property fmtid="{D5CDD505-2E9C-101B-9397-08002B2CF9AE}" pid="5" name="MSIP_Label_c08f1332-2cfb-404a-934f-6a2bfd1bd80c_Name">
    <vt:lpwstr>BDF-PUBLIC-Sans-Marquage</vt:lpwstr>
  </property>
  <property fmtid="{D5CDD505-2E9C-101B-9397-08002B2CF9AE}" pid="6" name="MSIP_Label_c08f1332-2cfb-404a-934f-6a2bfd1bd80c_SiteId">
    <vt:lpwstr>e6599448-62a0-418e-8930-d00d8d5682c2</vt:lpwstr>
  </property>
  <property fmtid="{D5CDD505-2E9C-101B-9397-08002B2CF9AE}" pid="7" name="MSIP_Label_c08f1332-2cfb-404a-934f-6a2bfd1bd80c_ActionId">
    <vt:lpwstr>a870eb89-f9b6-4c82-bd9e-582a8eb36d48</vt:lpwstr>
  </property>
  <property fmtid="{D5CDD505-2E9C-101B-9397-08002B2CF9AE}" pid="8" name="MSIP_Label_c08f1332-2cfb-404a-934f-6a2bfd1bd80c_ContentBits">
    <vt:lpwstr>0</vt:lpwstr>
  </property>
  <property fmtid="{D5CDD505-2E9C-101B-9397-08002B2CF9AE}" pid="9" name="MSIP_Label_c08f1332-2cfb-404a-934f-6a2bfd1bd80c_Tag">
    <vt:lpwstr>10, 0, 1, 1</vt:lpwstr>
  </property>
</Properties>
</file>